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4E8" w14:textId="23812F43" w:rsidR="00C431F1" w:rsidRPr="00052582" w:rsidRDefault="00C431F1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bookmarkStart w:id="0" w:name="_Hlk124419814"/>
      <w:r w:rsidRPr="00052582">
        <w:rPr>
          <w:rFonts w:ascii="Gotham Medium" w:hAnsi="Gotham Medium" w:cs="Arial"/>
          <w:color w:val="auto"/>
        </w:rPr>
        <w:t>HB212:</w:t>
      </w:r>
      <w:r w:rsidRPr="00052582">
        <w:rPr>
          <w:rFonts w:ascii="Gotham Black" w:hAnsi="Gotham Black" w:cs="Arial"/>
          <w:b/>
          <w:bCs/>
          <w:color w:val="auto"/>
        </w:rPr>
        <w:t xml:space="preserve"> Business Equipment Tax Exemption</w:t>
      </w:r>
    </w:p>
    <w:p w14:paraId="071B8030" w14:textId="1A5FCF15" w:rsidR="00DF353B" w:rsidRPr="00DF353B" w:rsidRDefault="00DF353B" w:rsidP="00BB0F05">
      <w:pPr>
        <w:spacing w:line="276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What:</w:t>
      </w:r>
      <w:r>
        <w:rPr>
          <w:rFonts w:ascii="Gotham" w:hAnsi="Gotham" w:cs="Arial"/>
          <w:b/>
          <w:bCs/>
        </w:rPr>
        <w:t xml:space="preserve"> </w:t>
      </w:r>
      <w:r>
        <w:rPr>
          <w:rFonts w:ascii="Gotham" w:hAnsi="Gotham" w:cs="Arial"/>
        </w:rPr>
        <w:t xml:space="preserve">Increase the </w:t>
      </w:r>
      <w:r w:rsidR="00B85DDC">
        <w:rPr>
          <w:rFonts w:ascii="Gotham" w:hAnsi="Gotham" w:cs="Arial"/>
        </w:rPr>
        <w:t>b</w:t>
      </w:r>
      <w:r>
        <w:rPr>
          <w:rFonts w:ascii="Gotham" w:hAnsi="Gotham" w:cs="Arial"/>
        </w:rPr>
        <w:t xml:space="preserve">usiness </w:t>
      </w:r>
      <w:r w:rsidR="00B85DDC">
        <w:rPr>
          <w:rFonts w:ascii="Gotham" w:hAnsi="Gotham" w:cs="Arial"/>
        </w:rPr>
        <w:t>e</w:t>
      </w:r>
      <w:r>
        <w:rPr>
          <w:rFonts w:ascii="Gotham" w:hAnsi="Gotham" w:cs="Arial"/>
        </w:rPr>
        <w:t>quipment tax exemption from $300,000 to $1 million</w:t>
      </w:r>
    </w:p>
    <w:p w14:paraId="0A3EB31A" w14:textId="13DD17B8" w:rsidR="00DF353B" w:rsidRPr="00DF353B" w:rsidRDefault="00DF353B" w:rsidP="00001D3D">
      <w:pPr>
        <w:spacing w:line="240" w:lineRule="auto"/>
        <w:rPr>
          <w:rFonts w:ascii="Gotham" w:hAnsi="Gotham" w:cs="Arial"/>
          <w:b/>
          <w:bCs/>
        </w:rPr>
      </w:pPr>
      <w:r w:rsidRPr="00033424">
        <w:rPr>
          <w:rFonts w:ascii="Gotham" w:hAnsi="Gotham" w:cs="Arial"/>
          <w:b/>
          <w:bCs/>
        </w:rPr>
        <w:t>Why:</w:t>
      </w:r>
      <w:r w:rsidRPr="00033424">
        <w:rPr>
          <w:rFonts w:ascii="Gotham" w:hAnsi="Gotham" w:cs="Arial"/>
        </w:rPr>
        <w:t xml:space="preserve"> </w:t>
      </w:r>
      <w:r w:rsidR="00001D3D">
        <w:rPr>
          <w:rFonts w:ascii="Gotham" w:hAnsi="Gotham" w:cs="Arial"/>
        </w:rPr>
        <w:t xml:space="preserve">All kinds of businesses rely on expensive, specialized equipment for their operations. Under current statute, the first $300,000 of market value of business equipment is exempt from taxation. This change would increase that exemption </w:t>
      </w:r>
      <w:r w:rsidR="00B85DDC">
        <w:rPr>
          <w:rFonts w:ascii="Gotham" w:hAnsi="Gotham" w:cs="Arial"/>
        </w:rPr>
        <w:t>to $1 million, meaning an additional 1700 Montana businesses would be exempt from paying taxes on their equipment.</w:t>
      </w:r>
    </w:p>
    <w:bookmarkEnd w:id="0"/>
    <w:p w14:paraId="08911185" w14:textId="0A699831" w:rsidR="00FC509E" w:rsidRPr="00033424" w:rsidRDefault="005D343B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 w:rsidRPr="00033424">
        <w:rPr>
          <w:rFonts w:ascii="Gotham Medium" w:hAnsi="Gotham Medium" w:cs="Arial"/>
          <w:color w:val="auto"/>
        </w:rPr>
        <w:t>SB93:</w:t>
      </w:r>
      <w:r w:rsidRPr="00033424">
        <w:rPr>
          <w:rFonts w:ascii="Gotham Black" w:hAnsi="Gotham Black" w:cs="Arial"/>
          <w:b/>
          <w:bCs/>
          <w:color w:val="auto"/>
        </w:rPr>
        <w:t xml:space="preserve"> </w:t>
      </w:r>
      <w:r w:rsidR="00FC509E" w:rsidRPr="00033424">
        <w:rPr>
          <w:rFonts w:ascii="Gotham Black" w:hAnsi="Gotham Black" w:cs="Arial"/>
          <w:b/>
          <w:bCs/>
          <w:color w:val="auto"/>
        </w:rPr>
        <w:t xml:space="preserve">Ballot </w:t>
      </w:r>
      <w:r w:rsidR="00D60E04" w:rsidRPr="00033424">
        <w:rPr>
          <w:rFonts w:ascii="Gotham Black" w:hAnsi="Gotham Black" w:cs="Arial"/>
          <w:b/>
          <w:bCs/>
          <w:color w:val="auto"/>
        </w:rPr>
        <w:t>Initiative</w:t>
      </w:r>
      <w:r w:rsidR="00FC509E" w:rsidRPr="00033424">
        <w:rPr>
          <w:rFonts w:ascii="Gotham Black" w:hAnsi="Gotham Black" w:cs="Arial"/>
          <w:b/>
          <w:bCs/>
          <w:color w:val="auto"/>
        </w:rPr>
        <w:t xml:space="preserve"> </w:t>
      </w:r>
      <w:r w:rsidRPr="00033424">
        <w:rPr>
          <w:rFonts w:ascii="Gotham Black" w:hAnsi="Gotham Black" w:cs="Arial"/>
          <w:b/>
          <w:bCs/>
          <w:color w:val="auto"/>
        </w:rPr>
        <w:t>Modernization</w:t>
      </w:r>
    </w:p>
    <w:p w14:paraId="1CF5480A" w14:textId="2EA0B189" w:rsidR="00876AFB" w:rsidRPr="00033424" w:rsidRDefault="00876AFB" w:rsidP="00423CDE">
      <w:pPr>
        <w:spacing w:after="0" w:line="240" w:lineRule="auto"/>
        <w:rPr>
          <w:rFonts w:ascii="Gotham" w:hAnsi="Gotham" w:cs="Arial"/>
          <w:b/>
          <w:bCs/>
        </w:rPr>
      </w:pPr>
      <w:bookmarkStart w:id="1" w:name="_Hlk124417460"/>
      <w:r w:rsidRPr="00033424">
        <w:rPr>
          <w:rFonts w:ascii="Gotham" w:hAnsi="Gotham" w:cs="Arial"/>
          <w:b/>
          <w:bCs/>
        </w:rPr>
        <w:t>What:</w:t>
      </w:r>
    </w:p>
    <w:p w14:paraId="23E47DE9" w14:textId="66C8A7CA" w:rsidR="000324F1" w:rsidRPr="00033424" w:rsidRDefault="000324F1" w:rsidP="00C431F1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 xml:space="preserve">Strengthen transparency and reporting requirements for ballot </w:t>
      </w:r>
      <w:r w:rsidR="00D60E04" w:rsidRPr="00033424">
        <w:rPr>
          <w:rFonts w:ascii="Gotham" w:hAnsi="Gotham" w:cs="Arial"/>
        </w:rPr>
        <w:t>initiatives</w:t>
      </w:r>
      <w:r w:rsidR="00BC31CC" w:rsidRPr="00033424">
        <w:rPr>
          <w:rFonts w:ascii="Gotham" w:hAnsi="Gotham" w:cs="Arial"/>
        </w:rPr>
        <w:t>.</w:t>
      </w:r>
    </w:p>
    <w:p w14:paraId="31B71CF3" w14:textId="796A6A7C" w:rsidR="000324F1" w:rsidRPr="00033424" w:rsidRDefault="00B05B34" w:rsidP="00C431F1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B</w:t>
      </w:r>
      <w:r w:rsidR="000324F1" w:rsidRPr="00033424">
        <w:rPr>
          <w:rFonts w:ascii="Gotham" w:hAnsi="Gotham" w:cs="Arial"/>
        </w:rPr>
        <w:t xml:space="preserve">allot </w:t>
      </w:r>
      <w:r w:rsidR="00D60E04" w:rsidRPr="00033424">
        <w:rPr>
          <w:rFonts w:ascii="Gotham" w:hAnsi="Gotham" w:cs="Arial"/>
        </w:rPr>
        <w:t xml:space="preserve">initiative </w:t>
      </w:r>
      <w:r w:rsidRPr="00033424">
        <w:rPr>
          <w:rFonts w:ascii="Gotham" w:hAnsi="Gotham" w:cs="Arial"/>
        </w:rPr>
        <w:t>filing fee</w:t>
      </w:r>
      <w:r w:rsidR="00937F2A" w:rsidRPr="00033424">
        <w:rPr>
          <w:rFonts w:ascii="Gotham" w:hAnsi="Gotham" w:cs="Arial"/>
        </w:rPr>
        <w:t>.</w:t>
      </w:r>
    </w:p>
    <w:p w14:paraId="58DE53F1" w14:textId="4F9A75C1" w:rsidR="000324F1" w:rsidRPr="00033424" w:rsidRDefault="00D60E04" w:rsidP="00C431F1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Streamline agency review timelines</w:t>
      </w:r>
      <w:r w:rsidR="00937F2A" w:rsidRPr="00033424">
        <w:rPr>
          <w:rFonts w:ascii="Gotham" w:hAnsi="Gotham" w:cs="Arial"/>
        </w:rPr>
        <w:t>.</w:t>
      </w:r>
    </w:p>
    <w:p w14:paraId="74489949" w14:textId="1A03217D" w:rsidR="000324F1" w:rsidRPr="00033424" w:rsidRDefault="000324F1" w:rsidP="00C431F1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Prohibit electronic signatures</w:t>
      </w:r>
      <w:r w:rsidR="00937F2A" w:rsidRPr="00033424">
        <w:rPr>
          <w:rFonts w:ascii="Gotham" w:hAnsi="Gotham" w:cs="Arial"/>
        </w:rPr>
        <w:t>.</w:t>
      </w:r>
    </w:p>
    <w:p w14:paraId="2EAD84A0" w14:textId="5E615CBD" w:rsidR="00472EEA" w:rsidRPr="00033424" w:rsidRDefault="00FC509E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</w:t>
      </w:r>
      <w:r w:rsidR="00E77214" w:rsidRPr="00033424">
        <w:rPr>
          <w:rFonts w:ascii="Gotham" w:hAnsi="Gotham" w:cs="Arial"/>
          <w:b/>
          <w:bCs/>
        </w:rPr>
        <w:t>hy:</w:t>
      </w:r>
      <w:r w:rsidR="00E77214" w:rsidRPr="00033424">
        <w:rPr>
          <w:rFonts w:ascii="Gotham" w:hAnsi="Gotham" w:cs="Arial"/>
        </w:rPr>
        <w:t xml:space="preserve"> </w:t>
      </w:r>
      <w:r w:rsidR="000078AF" w:rsidRPr="00033424">
        <w:rPr>
          <w:rFonts w:ascii="Gotham" w:hAnsi="Gotham" w:cs="Arial"/>
        </w:rPr>
        <w:t>These changes m</w:t>
      </w:r>
      <w:r w:rsidR="000324F1" w:rsidRPr="00033424">
        <w:rPr>
          <w:rFonts w:ascii="Gotham" w:hAnsi="Gotham" w:cs="Arial"/>
        </w:rPr>
        <w:t>aintain trust in ballot initiatives by ensuring legitimacy of proposed ballot initiatives, improving transparency in the process, and mandat</w:t>
      </w:r>
      <w:r w:rsidR="00D60E04" w:rsidRPr="00033424">
        <w:rPr>
          <w:rFonts w:ascii="Gotham" w:hAnsi="Gotham" w:cs="Arial"/>
        </w:rPr>
        <w:t>ing</w:t>
      </w:r>
      <w:r w:rsidR="000324F1" w:rsidRPr="00033424">
        <w:rPr>
          <w:rFonts w:ascii="Gotham" w:hAnsi="Gotham" w:cs="Arial"/>
        </w:rPr>
        <w:t xml:space="preserve"> financial reporting compliance.</w:t>
      </w:r>
    </w:p>
    <w:bookmarkEnd w:id="1"/>
    <w:p w14:paraId="1F99F9D2" w14:textId="67F83BF1" w:rsidR="00B05B34" w:rsidRPr="00033424" w:rsidRDefault="00F96F81" w:rsidP="00B85DDC">
      <w:pPr>
        <w:pStyle w:val="Heading1"/>
        <w:spacing w:before="360"/>
        <w:rPr>
          <w:rFonts w:ascii="Gotham Medium" w:hAnsi="Gotham Medium" w:cs="Arial"/>
          <w:b/>
          <w:bCs/>
          <w:color w:val="auto"/>
        </w:rPr>
      </w:pPr>
      <w:r>
        <w:rPr>
          <w:rFonts w:ascii="Gotham Medium" w:hAnsi="Gotham Medium" w:cs="Arial"/>
          <w:color w:val="auto"/>
        </w:rPr>
        <w:t>SB216:</w:t>
      </w:r>
      <w:r w:rsidR="005D343B" w:rsidRPr="00033424">
        <w:rPr>
          <w:rFonts w:ascii="Gotham Medium" w:hAnsi="Gotham Medium" w:cs="Arial"/>
          <w:b/>
          <w:bCs/>
          <w:color w:val="auto"/>
        </w:rPr>
        <w:t xml:space="preserve"> </w:t>
      </w:r>
      <w:r w:rsidR="00B05B34" w:rsidRPr="00033424">
        <w:rPr>
          <w:rFonts w:ascii="Gotham Black" w:hAnsi="Gotham Black" w:cs="Arial"/>
          <w:b/>
          <w:bCs/>
          <w:color w:val="auto"/>
        </w:rPr>
        <w:t>Product Liability Reform</w:t>
      </w:r>
    </w:p>
    <w:p w14:paraId="4D9CE96A" w14:textId="77777777" w:rsidR="00876AFB" w:rsidRPr="00033424" w:rsidRDefault="00876AFB" w:rsidP="00423CDE">
      <w:pPr>
        <w:spacing w:after="0" w:line="240" w:lineRule="auto"/>
        <w:rPr>
          <w:rFonts w:ascii="Gotham" w:hAnsi="Gotham" w:cs="Arial"/>
          <w:b/>
          <w:bCs/>
        </w:rPr>
      </w:pPr>
      <w:r w:rsidRPr="00033424">
        <w:rPr>
          <w:rFonts w:ascii="Gotham" w:hAnsi="Gotham" w:cs="Arial"/>
          <w:b/>
          <w:bCs/>
        </w:rPr>
        <w:t>What:</w:t>
      </w:r>
    </w:p>
    <w:p w14:paraId="4E371B05" w14:textId="1BB2B7D8" w:rsidR="00B05B34" w:rsidRPr="00033424" w:rsidRDefault="00B05B34" w:rsidP="00C431F1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Allows comparative fault defense when other parties contributed to the injury</w:t>
      </w:r>
      <w:r w:rsidR="00937F2A" w:rsidRPr="00033424">
        <w:rPr>
          <w:rFonts w:ascii="Gotham" w:hAnsi="Gotham" w:cs="Arial"/>
        </w:rPr>
        <w:t>.</w:t>
      </w:r>
    </w:p>
    <w:p w14:paraId="3314625D" w14:textId="1A6725B9" w:rsidR="00B05B34" w:rsidRPr="00033424" w:rsidRDefault="00D60E04" w:rsidP="00C431F1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 xml:space="preserve">Strengthens </w:t>
      </w:r>
      <w:r w:rsidR="00B05B34" w:rsidRPr="00033424">
        <w:rPr>
          <w:rFonts w:ascii="Gotham" w:hAnsi="Gotham" w:cs="Arial"/>
        </w:rPr>
        <w:t>product misuse defense</w:t>
      </w:r>
      <w:r w:rsidR="00937F2A" w:rsidRPr="00033424">
        <w:rPr>
          <w:rFonts w:ascii="Gotham" w:hAnsi="Gotham" w:cs="Arial"/>
        </w:rPr>
        <w:t>.</w:t>
      </w:r>
    </w:p>
    <w:p w14:paraId="300E5191" w14:textId="4600A5F6" w:rsidR="00B05B34" w:rsidRPr="00033424" w:rsidRDefault="00B05B34" w:rsidP="00C431F1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Creates defenses for compliance with government safety regulations</w:t>
      </w:r>
      <w:r w:rsidR="00937F2A" w:rsidRPr="00033424">
        <w:rPr>
          <w:rFonts w:ascii="Gotham" w:hAnsi="Gotham" w:cs="Arial"/>
        </w:rPr>
        <w:t>.</w:t>
      </w:r>
    </w:p>
    <w:p w14:paraId="305C01F7" w14:textId="365C239C" w:rsidR="00B05B34" w:rsidRPr="00033424" w:rsidRDefault="00B05B34" w:rsidP="00C431F1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Creates 10-year statute of repose</w:t>
      </w:r>
      <w:r w:rsidR="00937F2A" w:rsidRPr="00033424">
        <w:rPr>
          <w:rFonts w:ascii="Gotham" w:hAnsi="Gotham" w:cs="Arial"/>
        </w:rPr>
        <w:t>.</w:t>
      </w:r>
    </w:p>
    <w:p w14:paraId="54C435D9" w14:textId="66A4017E" w:rsidR="00B05B34" w:rsidRPr="00033424" w:rsidRDefault="00B05B34" w:rsidP="00C431F1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Creates innocent-seller defense for retailers that sold the product unchanged from the manufacturer</w:t>
      </w:r>
      <w:r w:rsidR="00937F2A" w:rsidRPr="00033424">
        <w:rPr>
          <w:rFonts w:ascii="Gotham" w:hAnsi="Gotham" w:cs="Arial"/>
        </w:rPr>
        <w:t>.</w:t>
      </w:r>
    </w:p>
    <w:p w14:paraId="0652ACDD" w14:textId="3CDA3F47" w:rsidR="00B05B34" w:rsidRPr="00033424" w:rsidRDefault="00E77214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="00B05B34" w:rsidRPr="00033424">
        <w:rPr>
          <w:rFonts w:ascii="Gotham" w:hAnsi="Gotham" w:cs="Arial"/>
        </w:rPr>
        <w:t xml:space="preserve"> Common sense reforms to current product liability law protect manufacturers and </w:t>
      </w:r>
      <w:r w:rsidR="00D60E04" w:rsidRPr="00033424">
        <w:rPr>
          <w:rFonts w:ascii="Gotham" w:hAnsi="Gotham" w:cs="Arial"/>
        </w:rPr>
        <w:t xml:space="preserve">Montana </w:t>
      </w:r>
      <w:r w:rsidR="00B05B34" w:rsidRPr="00033424">
        <w:rPr>
          <w:rFonts w:ascii="Gotham" w:hAnsi="Gotham" w:cs="Arial"/>
        </w:rPr>
        <w:t xml:space="preserve">businesses. </w:t>
      </w:r>
    </w:p>
    <w:p w14:paraId="22A91B8D" w14:textId="6318DF0C" w:rsidR="00B05B34" w:rsidRPr="00033424" w:rsidRDefault="00F419BF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>
        <w:rPr>
          <w:rFonts w:ascii="Gotham Medium" w:hAnsi="Gotham Medium" w:cs="Arial"/>
          <w:b/>
          <w:bCs/>
          <w:color w:val="auto"/>
        </w:rPr>
        <w:t>SB269</w:t>
      </w:r>
      <w:r w:rsidR="005D343B" w:rsidRPr="00033424">
        <w:rPr>
          <w:rFonts w:ascii="Gotham Medium" w:hAnsi="Gotham Medium" w:cs="Arial"/>
          <w:b/>
          <w:bCs/>
          <w:color w:val="auto"/>
        </w:rPr>
        <w:t>: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Litigation Financing Consumer Protection</w:t>
      </w:r>
    </w:p>
    <w:p w14:paraId="7975C7F3" w14:textId="77777777" w:rsidR="00876AFB" w:rsidRPr="00033424" w:rsidRDefault="00876AFB" w:rsidP="00423CDE">
      <w:pPr>
        <w:spacing w:after="0" w:line="240" w:lineRule="auto"/>
        <w:rPr>
          <w:rFonts w:ascii="Gotham" w:hAnsi="Gotham" w:cs="Arial"/>
          <w:b/>
          <w:bCs/>
        </w:rPr>
      </w:pPr>
      <w:bookmarkStart w:id="2" w:name="_Hlk125033192"/>
      <w:r w:rsidRPr="00033424">
        <w:rPr>
          <w:rFonts w:ascii="Gotham" w:hAnsi="Gotham" w:cs="Arial"/>
          <w:b/>
          <w:bCs/>
        </w:rPr>
        <w:t>What:</w:t>
      </w:r>
    </w:p>
    <w:p w14:paraId="2CE4F8FF" w14:textId="1C340C04" w:rsidR="000E31AD" w:rsidRDefault="00B05B34" w:rsidP="00C431F1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Requires third</w:t>
      </w:r>
      <w:r w:rsidR="007D2500" w:rsidRPr="00033424">
        <w:rPr>
          <w:rFonts w:ascii="Gotham" w:hAnsi="Gotham" w:cs="Arial"/>
        </w:rPr>
        <w:t>-</w:t>
      </w:r>
      <w:r w:rsidRPr="00033424">
        <w:rPr>
          <w:rFonts w:ascii="Gotham" w:hAnsi="Gotham" w:cs="Arial"/>
        </w:rPr>
        <w:t>party litigation financers (TPLF) to register</w:t>
      </w:r>
      <w:r w:rsidR="000E31AD">
        <w:rPr>
          <w:rFonts w:ascii="Gotham" w:hAnsi="Gotham" w:cs="Arial"/>
        </w:rPr>
        <w:t>.</w:t>
      </w:r>
    </w:p>
    <w:p w14:paraId="19351D9F" w14:textId="77777777" w:rsidR="000E31AD" w:rsidRDefault="000E31AD" w:rsidP="00C431F1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rial"/>
        </w:rPr>
      </w:pPr>
      <w:r>
        <w:rPr>
          <w:rFonts w:ascii="Gotham" w:hAnsi="Gotham" w:cs="Arial"/>
        </w:rPr>
        <w:t>L</w:t>
      </w:r>
      <w:r w:rsidR="00B05B34" w:rsidRPr="00033424">
        <w:rPr>
          <w:rFonts w:ascii="Gotham" w:hAnsi="Gotham" w:cs="Arial"/>
        </w:rPr>
        <w:t>imits interest rates</w:t>
      </w:r>
      <w:r>
        <w:rPr>
          <w:rFonts w:ascii="Gotham" w:hAnsi="Gotham" w:cs="Arial"/>
        </w:rPr>
        <w:t xml:space="preserve"> TPLFs can charge plaintiffs.</w:t>
      </w:r>
    </w:p>
    <w:p w14:paraId="32CC829C" w14:textId="06DABFF2" w:rsidR="00B05B34" w:rsidRPr="00033424" w:rsidRDefault="000E31AD" w:rsidP="00C431F1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rial"/>
        </w:rPr>
      </w:pPr>
      <w:r>
        <w:rPr>
          <w:rFonts w:ascii="Gotham" w:hAnsi="Gotham" w:cs="Arial"/>
        </w:rPr>
        <w:t xml:space="preserve">Caps the </w:t>
      </w:r>
      <w:r w:rsidR="00C64C8A" w:rsidRPr="00033424">
        <w:rPr>
          <w:rFonts w:ascii="Gotham" w:hAnsi="Gotham" w:cs="Arial"/>
        </w:rPr>
        <w:t>share</w:t>
      </w:r>
      <w:r w:rsidR="00B05B34" w:rsidRPr="00033424">
        <w:rPr>
          <w:rFonts w:ascii="Gotham" w:hAnsi="Gotham" w:cs="Arial"/>
        </w:rPr>
        <w:t xml:space="preserve"> </w:t>
      </w:r>
      <w:r w:rsidR="00876AFB" w:rsidRPr="00033424">
        <w:rPr>
          <w:rFonts w:ascii="Gotham" w:hAnsi="Gotham" w:cs="Arial"/>
        </w:rPr>
        <w:t xml:space="preserve">of </w:t>
      </w:r>
      <w:r w:rsidR="00B05B34" w:rsidRPr="00033424">
        <w:rPr>
          <w:rFonts w:ascii="Gotham" w:hAnsi="Gotham" w:cs="Arial"/>
        </w:rPr>
        <w:t xml:space="preserve">recovery </w:t>
      </w:r>
      <w:r>
        <w:rPr>
          <w:rFonts w:ascii="Gotham" w:hAnsi="Gotham" w:cs="Arial"/>
        </w:rPr>
        <w:t>TPLFs</w:t>
      </w:r>
      <w:r w:rsidR="00B05B34" w:rsidRPr="00033424">
        <w:rPr>
          <w:rFonts w:ascii="Gotham" w:hAnsi="Gotham" w:cs="Arial"/>
        </w:rPr>
        <w:t xml:space="preserve"> can</w:t>
      </w:r>
      <w:r w:rsidR="00C64C8A" w:rsidRPr="00033424">
        <w:rPr>
          <w:rFonts w:ascii="Gotham" w:hAnsi="Gotham" w:cs="Arial"/>
        </w:rPr>
        <w:t xml:space="preserve"> take from plaintiffs.</w:t>
      </w:r>
      <w:r w:rsidR="00B05B34" w:rsidRPr="00033424">
        <w:rPr>
          <w:rFonts w:ascii="Gotham" w:hAnsi="Gotham" w:cs="Arial"/>
        </w:rPr>
        <w:t xml:space="preserve"> </w:t>
      </w:r>
    </w:p>
    <w:p w14:paraId="6ABB7A34" w14:textId="6485319B" w:rsidR="00B05B34" w:rsidRPr="00033424" w:rsidRDefault="00B05B34" w:rsidP="00C431F1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Requires TPLFs to disclose involvement to all parties</w:t>
      </w:r>
      <w:r w:rsidR="00937F2A" w:rsidRPr="00033424">
        <w:rPr>
          <w:rFonts w:ascii="Gotham" w:hAnsi="Gotham" w:cs="Arial"/>
        </w:rPr>
        <w:t>.</w:t>
      </w:r>
    </w:p>
    <w:p w14:paraId="354C0D6F" w14:textId="7AB127FA" w:rsidR="00B05B34" w:rsidRPr="00033424" w:rsidRDefault="00B05B34" w:rsidP="00C431F1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>Creates TPLF liability for court-ordered costs or penalties against the plaintiff</w:t>
      </w:r>
      <w:r w:rsidR="00937F2A" w:rsidRPr="00033424">
        <w:rPr>
          <w:rFonts w:ascii="Gotham" w:hAnsi="Gotham" w:cs="Arial"/>
        </w:rPr>
        <w:t>.</w:t>
      </w:r>
    </w:p>
    <w:p w14:paraId="239CB2F3" w14:textId="1997A56F" w:rsidR="00BB0F05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="00B05B34" w:rsidRPr="00033424">
        <w:rPr>
          <w:rFonts w:ascii="Gotham" w:hAnsi="Gotham" w:cs="Arial"/>
        </w:rPr>
        <w:t xml:space="preserve"> TPLF is a shadowy, $39 billion industry</w:t>
      </w:r>
      <w:r w:rsidR="00C64C8A" w:rsidRPr="00033424">
        <w:rPr>
          <w:rFonts w:ascii="Gotham" w:hAnsi="Gotham" w:cs="Arial"/>
        </w:rPr>
        <w:t xml:space="preserve"> of</w:t>
      </w:r>
      <w:r w:rsidR="00B05B34" w:rsidRPr="00033424">
        <w:rPr>
          <w:rFonts w:ascii="Gotham" w:hAnsi="Gotham" w:cs="Arial"/>
        </w:rPr>
        <w:t xml:space="preserve"> hedge funds, wealthy individuals, and sovereign wealth funds</w:t>
      </w:r>
      <w:r w:rsidR="000E31AD">
        <w:rPr>
          <w:rFonts w:ascii="Gotham" w:hAnsi="Gotham" w:cs="Arial"/>
        </w:rPr>
        <w:t xml:space="preserve"> investing in lawsuits</w:t>
      </w:r>
      <w:r w:rsidR="00B05B34" w:rsidRPr="00033424">
        <w:rPr>
          <w:rFonts w:ascii="Gotham" w:hAnsi="Gotham" w:cs="Arial"/>
        </w:rPr>
        <w:t xml:space="preserve"> in exchange for a share of any potential recovery. Without transparency, we can’t know </w:t>
      </w:r>
      <w:r w:rsidR="00D60E04" w:rsidRPr="00033424">
        <w:rPr>
          <w:rFonts w:ascii="Gotham" w:hAnsi="Gotham" w:cs="Arial"/>
        </w:rPr>
        <w:t xml:space="preserve">the full extent </w:t>
      </w:r>
      <w:r w:rsidR="00B05B34" w:rsidRPr="00033424">
        <w:rPr>
          <w:rFonts w:ascii="Gotham" w:hAnsi="Gotham" w:cs="Arial"/>
        </w:rPr>
        <w:t xml:space="preserve">of </w:t>
      </w:r>
      <w:r w:rsidR="00D60E04" w:rsidRPr="00033424">
        <w:rPr>
          <w:rFonts w:ascii="Gotham" w:hAnsi="Gotham" w:cs="Arial"/>
        </w:rPr>
        <w:t xml:space="preserve">the </w:t>
      </w:r>
      <w:r w:rsidR="00B05B34" w:rsidRPr="00033424">
        <w:rPr>
          <w:rFonts w:ascii="Gotham" w:hAnsi="Gotham" w:cs="Arial"/>
        </w:rPr>
        <w:t xml:space="preserve">problem or </w:t>
      </w:r>
      <w:r w:rsidR="00D60E04" w:rsidRPr="00033424">
        <w:rPr>
          <w:rFonts w:ascii="Gotham" w:hAnsi="Gotham" w:cs="Arial"/>
        </w:rPr>
        <w:t xml:space="preserve">even </w:t>
      </w:r>
      <w:r w:rsidR="00B05B34" w:rsidRPr="00033424">
        <w:rPr>
          <w:rFonts w:ascii="Gotham" w:hAnsi="Gotham" w:cs="Arial"/>
        </w:rPr>
        <w:t xml:space="preserve">when a third party is financing a case. These reforms protect consumers from predatory practices by TPLFs and improve transparency in our court system. </w:t>
      </w:r>
    </w:p>
    <w:bookmarkEnd w:id="2"/>
    <w:p w14:paraId="0909B6C9" w14:textId="4CE9EE97" w:rsidR="00B05B34" w:rsidRPr="00033424" w:rsidRDefault="00F96F81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>
        <w:rPr>
          <w:rFonts w:ascii="Gotham Medium" w:hAnsi="Gotham Medium" w:cs="Arial"/>
          <w:b/>
          <w:bCs/>
          <w:color w:val="auto"/>
        </w:rPr>
        <w:lastRenderedPageBreak/>
        <w:t>SB236</w:t>
      </w:r>
      <w:r w:rsidR="005D343B" w:rsidRPr="00033424">
        <w:rPr>
          <w:rFonts w:ascii="Gotham Medium" w:hAnsi="Gotham Medium" w:cs="Arial"/>
          <w:b/>
          <w:bCs/>
          <w:color w:val="auto"/>
        </w:rPr>
        <w:t>: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Set Standards for </w:t>
      </w:r>
      <w:r w:rsidR="00B05B34" w:rsidRPr="00033424">
        <w:rPr>
          <w:rFonts w:ascii="Gotham Black" w:hAnsi="Gotham Black" w:cs="Arial"/>
          <w:b/>
          <w:bCs/>
          <w:color w:val="auto"/>
        </w:rPr>
        <w:t xml:space="preserve">Time-Limited Demands </w:t>
      </w:r>
    </w:p>
    <w:p w14:paraId="08A40CF3" w14:textId="77777777" w:rsidR="00876AFB" w:rsidRPr="00033424" w:rsidRDefault="00876AFB" w:rsidP="00423CDE">
      <w:pPr>
        <w:spacing w:after="0" w:line="240" w:lineRule="auto"/>
        <w:rPr>
          <w:rFonts w:ascii="Gotham" w:hAnsi="Gotham" w:cs="Arial"/>
          <w:b/>
          <w:bCs/>
        </w:rPr>
      </w:pPr>
      <w:r w:rsidRPr="00033424">
        <w:rPr>
          <w:rFonts w:ascii="Gotham" w:hAnsi="Gotham" w:cs="Arial"/>
          <w:b/>
          <w:bCs/>
        </w:rPr>
        <w:t>What:</w:t>
      </w:r>
    </w:p>
    <w:p w14:paraId="61B896BD" w14:textId="77777777" w:rsidR="00B05B34" w:rsidRPr="00033424" w:rsidRDefault="00B05B34" w:rsidP="00C431F1">
      <w:pPr>
        <w:pStyle w:val="ListParagraph"/>
        <w:numPr>
          <w:ilvl w:val="0"/>
          <w:numId w:val="6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 xml:space="preserve">Requires that time-limited settlement demand letters reasonably describe the claim, include relevant records, and allow 60 days for acceptance. </w:t>
      </w:r>
    </w:p>
    <w:p w14:paraId="017BC687" w14:textId="1C32528D" w:rsidR="00B05B34" w:rsidRPr="00033424" w:rsidRDefault="00B05B34" w:rsidP="00C431F1">
      <w:pPr>
        <w:pStyle w:val="ListParagraph"/>
        <w:numPr>
          <w:ilvl w:val="0"/>
          <w:numId w:val="6"/>
        </w:numPr>
        <w:spacing w:line="240" w:lineRule="auto"/>
        <w:rPr>
          <w:rFonts w:ascii="Gotham" w:hAnsi="Gotham" w:cs="Arial"/>
          <w:b/>
          <w:bCs/>
        </w:rPr>
      </w:pPr>
      <w:r w:rsidRPr="00033424">
        <w:rPr>
          <w:rFonts w:ascii="Gotham" w:hAnsi="Gotham" w:cs="Arial"/>
        </w:rPr>
        <w:t>Requires claimants provide reasonable records and information insurer</w:t>
      </w:r>
      <w:r w:rsidR="00937F2A" w:rsidRPr="00033424">
        <w:rPr>
          <w:rFonts w:ascii="Gotham" w:hAnsi="Gotham" w:cs="Arial"/>
        </w:rPr>
        <w:t>s need for timely, reasonable claims settlement.</w:t>
      </w:r>
      <w:r w:rsidRPr="00033424">
        <w:rPr>
          <w:rFonts w:ascii="Gotham" w:hAnsi="Gotham" w:cs="Arial"/>
        </w:rPr>
        <w:t xml:space="preserve"> </w:t>
      </w:r>
    </w:p>
    <w:p w14:paraId="047BD1CF" w14:textId="7271760D" w:rsidR="00B05B34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="00B05B34" w:rsidRPr="00033424">
        <w:rPr>
          <w:rFonts w:ascii="Gotham" w:hAnsi="Gotham" w:cs="Arial"/>
        </w:rPr>
        <w:t xml:space="preserve"> </w:t>
      </w:r>
      <w:r w:rsidR="00937F2A" w:rsidRPr="00033424">
        <w:rPr>
          <w:rFonts w:ascii="Gotham" w:hAnsi="Gotham" w:cs="Arial"/>
        </w:rPr>
        <w:t xml:space="preserve">Trial lawyers frequently abuse </w:t>
      </w:r>
      <w:r w:rsidR="00B05B34" w:rsidRPr="00033424">
        <w:rPr>
          <w:rFonts w:ascii="Gotham" w:hAnsi="Gotham" w:cs="Arial"/>
        </w:rPr>
        <w:t xml:space="preserve">time-limited settlement demand letters and </w:t>
      </w:r>
      <w:r w:rsidR="00937F2A" w:rsidRPr="00033424">
        <w:rPr>
          <w:rFonts w:ascii="Gotham" w:hAnsi="Gotham" w:cs="Arial"/>
        </w:rPr>
        <w:t xml:space="preserve">withhold </w:t>
      </w:r>
      <w:r w:rsidR="00B05B34" w:rsidRPr="00033424">
        <w:rPr>
          <w:rFonts w:ascii="Gotham" w:hAnsi="Gotham" w:cs="Arial"/>
        </w:rPr>
        <w:t>information</w:t>
      </w:r>
      <w:r w:rsidR="00937F2A" w:rsidRPr="00033424">
        <w:rPr>
          <w:rFonts w:ascii="Gotham" w:hAnsi="Gotham" w:cs="Arial"/>
        </w:rPr>
        <w:t xml:space="preserve"> necessary</w:t>
      </w:r>
      <w:r w:rsidR="00B05B34" w:rsidRPr="00033424">
        <w:rPr>
          <w:rFonts w:ascii="Gotham" w:hAnsi="Gotham" w:cs="Arial"/>
        </w:rPr>
        <w:t xml:space="preserve"> for insurance compan</w:t>
      </w:r>
      <w:r w:rsidR="00937F2A" w:rsidRPr="00033424">
        <w:rPr>
          <w:rFonts w:ascii="Gotham" w:hAnsi="Gotham" w:cs="Arial"/>
        </w:rPr>
        <w:t>ies</w:t>
      </w:r>
      <w:r w:rsidR="00B05B34" w:rsidRPr="00033424">
        <w:rPr>
          <w:rFonts w:ascii="Gotham" w:hAnsi="Gotham" w:cs="Arial"/>
        </w:rPr>
        <w:t xml:space="preserve"> to settle claim</w:t>
      </w:r>
      <w:r w:rsidR="00C64C8A" w:rsidRPr="00033424">
        <w:rPr>
          <w:rFonts w:ascii="Gotham" w:hAnsi="Gotham" w:cs="Arial"/>
        </w:rPr>
        <w:t>s</w:t>
      </w:r>
      <w:r w:rsidR="00B05B34" w:rsidRPr="00033424">
        <w:rPr>
          <w:rFonts w:ascii="Gotham" w:hAnsi="Gotham" w:cs="Arial"/>
        </w:rPr>
        <w:t xml:space="preserve"> </w:t>
      </w:r>
      <w:r w:rsidR="00C64C8A" w:rsidRPr="00033424">
        <w:rPr>
          <w:rFonts w:ascii="Gotham" w:hAnsi="Gotham" w:cs="Arial"/>
        </w:rPr>
        <w:t xml:space="preserve">fairly and expeditiously. </w:t>
      </w:r>
    </w:p>
    <w:p w14:paraId="4D990A0E" w14:textId="56D582AB" w:rsidR="00614131" w:rsidRPr="00033424" w:rsidRDefault="006A642B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>
        <w:rPr>
          <w:rFonts w:ascii="Gotham Medium" w:hAnsi="Gotham Medium" w:cs="Arial"/>
          <w:b/>
          <w:bCs/>
          <w:color w:val="auto"/>
        </w:rPr>
        <w:t>SB165</w:t>
      </w:r>
      <w:r w:rsidR="005D343B" w:rsidRPr="00033424">
        <w:rPr>
          <w:rFonts w:ascii="Gotham Medium" w:hAnsi="Gotham Medium" w:cs="Arial"/>
          <w:b/>
          <w:bCs/>
          <w:color w:val="auto"/>
        </w:rPr>
        <w:t>: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Insurance Claims Cooperation</w:t>
      </w:r>
    </w:p>
    <w:p w14:paraId="4A827423" w14:textId="77777777" w:rsidR="00B50D27" w:rsidRPr="00033424" w:rsidRDefault="00614131" w:rsidP="00423CDE">
      <w:pPr>
        <w:spacing w:line="240" w:lineRule="auto"/>
        <w:rPr>
          <w:rFonts w:ascii="Gotham" w:hAnsi="Gotham" w:cs="Arial"/>
          <w:b/>
          <w:bCs/>
        </w:rPr>
      </w:pPr>
      <w:r w:rsidRPr="00033424">
        <w:rPr>
          <w:rFonts w:ascii="Gotham" w:hAnsi="Gotham" w:cs="Arial"/>
          <w:b/>
          <w:bCs/>
        </w:rPr>
        <w:t xml:space="preserve">What: </w:t>
      </w:r>
    </w:p>
    <w:p w14:paraId="03F8DB7A" w14:textId="29FE9CEB" w:rsidR="00B50D27" w:rsidRPr="00033424" w:rsidRDefault="00614131" w:rsidP="00C431F1">
      <w:pPr>
        <w:pStyle w:val="ListParagraph"/>
        <w:numPr>
          <w:ilvl w:val="0"/>
          <w:numId w:val="7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 xml:space="preserve">Requires claimants to cooperate with insurers investigating/adjusting claims. </w:t>
      </w:r>
    </w:p>
    <w:p w14:paraId="27D6B7D1" w14:textId="3625BBE6" w:rsidR="00B50D27" w:rsidRPr="00033424" w:rsidRDefault="00B50D27" w:rsidP="00C431F1">
      <w:pPr>
        <w:pStyle w:val="ListParagraph"/>
        <w:numPr>
          <w:ilvl w:val="0"/>
          <w:numId w:val="7"/>
        </w:num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</w:rPr>
        <w:t xml:space="preserve">Replaces common-law bad faith claims with statutory </w:t>
      </w:r>
      <w:proofErr w:type="gramStart"/>
      <w:r w:rsidRPr="00033424">
        <w:rPr>
          <w:rFonts w:ascii="Gotham" w:hAnsi="Gotham" w:cs="Arial"/>
        </w:rPr>
        <w:t>rights</w:t>
      </w:r>
      <w:proofErr w:type="gramEnd"/>
    </w:p>
    <w:p w14:paraId="05CABBF3" w14:textId="1AA9335D" w:rsidR="00614131" w:rsidRPr="00033424" w:rsidRDefault="00614131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Pr="00033424">
        <w:rPr>
          <w:rFonts w:ascii="Gotham" w:hAnsi="Gotham" w:cs="Arial"/>
        </w:rPr>
        <w:t xml:space="preserve"> Expedite reasonable claims adjustment and limit abusive practices by trial lawyers. </w:t>
      </w:r>
    </w:p>
    <w:p w14:paraId="063BDB4B" w14:textId="08F737F2" w:rsidR="00FC509E" w:rsidRPr="00033424" w:rsidRDefault="00F419BF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bookmarkStart w:id="3" w:name="_Hlk126079174"/>
      <w:r>
        <w:rPr>
          <w:rFonts w:ascii="Gotham Medium" w:hAnsi="Gotham Medium" w:cs="Arial"/>
          <w:b/>
          <w:bCs/>
          <w:color w:val="auto"/>
        </w:rPr>
        <w:t>SB260</w:t>
      </w:r>
      <w:r w:rsidR="005D343B" w:rsidRPr="00033424">
        <w:rPr>
          <w:rFonts w:ascii="Gotham Medium" w:hAnsi="Gotham Medium" w:cs="Arial"/>
          <w:b/>
          <w:bCs/>
          <w:color w:val="auto"/>
        </w:rPr>
        <w:t>: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Captive Insurance Reform</w:t>
      </w:r>
    </w:p>
    <w:p w14:paraId="2E7E803D" w14:textId="2B1F2CBB" w:rsidR="00876AFB" w:rsidRPr="00033424" w:rsidRDefault="00876AFB" w:rsidP="00423CDE">
      <w:pPr>
        <w:spacing w:line="240" w:lineRule="auto"/>
        <w:rPr>
          <w:rFonts w:ascii="Gotham" w:hAnsi="Gotham" w:cs="Arial"/>
        </w:rPr>
      </w:pPr>
      <w:bookmarkStart w:id="4" w:name="_Hlk125033169"/>
      <w:r w:rsidRPr="00033424">
        <w:rPr>
          <w:rFonts w:ascii="Gotham" w:hAnsi="Gotham" w:cs="Arial"/>
          <w:b/>
          <w:bCs/>
        </w:rPr>
        <w:t>What:</w:t>
      </w:r>
      <w:r w:rsidR="000324F1" w:rsidRPr="00033424">
        <w:rPr>
          <w:rFonts w:ascii="Gotham" w:hAnsi="Gotham" w:cs="Arial"/>
        </w:rPr>
        <w:t xml:space="preserve"> </w:t>
      </w:r>
      <w:r w:rsidR="00D27510" w:rsidRPr="00D27510">
        <w:rPr>
          <w:rFonts w:ascii="Gotham" w:hAnsi="Gotham" w:cs="Arial"/>
        </w:rPr>
        <w:t>Align Montana Unfair Trade Practices Act (MCA 33-18-242) with model code and majority of states by eliminating application to captive insurers and self-insured where no conflict of interest exists between the insured and the insurer.</w:t>
      </w:r>
    </w:p>
    <w:p w14:paraId="121D6B37" w14:textId="67CCDD4A" w:rsidR="00876AFB" w:rsidRPr="00BB0F05" w:rsidRDefault="00876AFB" w:rsidP="00423CDE">
      <w:pPr>
        <w:spacing w:after="0"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 xml:space="preserve">Why: </w:t>
      </w:r>
      <w:r w:rsidR="000078AF" w:rsidRPr="00033424">
        <w:rPr>
          <w:rFonts w:ascii="Gotham" w:hAnsi="Gotham" w:cs="Arial"/>
        </w:rPr>
        <w:t>Under current statute, a captive insurer or self-insured</w:t>
      </w:r>
      <w:r w:rsidR="00937F2A" w:rsidRPr="00033424">
        <w:rPr>
          <w:rFonts w:ascii="Gotham" w:hAnsi="Gotham" w:cs="Arial"/>
        </w:rPr>
        <w:t xml:space="preserve"> company </w:t>
      </w:r>
      <w:r w:rsidR="000078AF" w:rsidRPr="00033424">
        <w:rPr>
          <w:rFonts w:ascii="Gotham" w:hAnsi="Gotham" w:cs="Arial"/>
        </w:rPr>
        <w:t xml:space="preserve">can be subject to a bad faith claim merely for defending </w:t>
      </w:r>
      <w:r w:rsidR="00937F2A" w:rsidRPr="00033424">
        <w:rPr>
          <w:rFonts w:ascii="Gotham" w:hAnsi="Gotham" w:cs="Arial"/>
        </w:rPr>
        <w:t xml:space="preserve">itself </w:t>
      </w:r>
      <w:r w:rsidR="000078AF" w:rsidRPr="00033424">
        <w:rPr>
          <w:rFonts w:ascii="Gotham" w:hAnsi="Gotham" w:cs="Arial"/>
        </w:rPr>
        <w:t>in a case. This amendment will remove unnecessary and counterproductive bad faith rules for captive insurers and self-insureds and</w:t>
      </w:r>
      <w:r w:rsidR="000324F1" w:rsidRPr="00033424">
        <w:rPr>
          <w:rFonts w:ascii="Gotham" w:hAnsi="Gotham" w:cs="Arial"/>
        </w:rPr>
        <w:t xml:space="preserve"> will make Montana </w:t>
      </w:r>
      <w:r w:rsidR="00B05B34" w:rsidRPr="00033424">
        <w:rPr>
          <w:rFonts w:ascii="Gotham" w:hAnsi="Gotham" w:cs="Arial"/>
        </w:rPr>
        <w:t xml:space="preserve">a </w:t>
      </w:r>
      <w:r w:rsidR="000324F1" w:rsidRPr="00033424">
        <w:rPr>
          <w:rFonts w:ascii="Gotham" w:hAnsi="Gotham" w:cs="Arial"/>
        </w:rPr>
        <w:t>more attractive captive</w:t>
      </w:r>
      <w:r w:rsidR="00B05B34" w:rsidRPr="00033424">
        <w:rPr>
          <w:rFonts w:ascii="Gotham" w:hAnsi="Gotham" w:cs="Arial"/>
        </w:rPr>
        <w:t>-</w:t>
      </w:r>
      <w:r w:rsidR="000324F1" w:rsidRPr="00033424">
        <w:rPr>
          <w:rFonts w:ascii="Gotham" w:hAnsi="Gotham" w:cs="Arial"/>
        </w:rPr>
        <w:t xml:space="preserve">insured </w:t>
      </w:r>
      <w:r w:rsidR="00B05B34" w:rsidRPr="00033424">
        <w:rPr>
          <w:rFonts w:ascii="Gotham" w:hAnsi="Gotham" w:cs="Arial"/>
        </w:rPr>
        <w:t>domicile.</w:t>
      </w:r>
      <w:r w:rsidR="000324F1" w:rsidRPr="00033424">
        <w:rPr>
          <w:rFonts w:ascii="Gotham" w:hAnsi="Gotham" w:cs="Arial"/>
        </w:rPr>
        <w:t xml:space="preserve"> </w:t>
      </w:r>
    </w:p>
    <w:bookmarkEnd w:id="3"/>
    <w:bookmarkEnd w:id="4"/>
    <w:p w14:paraId="3B26D54A" w14:textId="048B5C37" w:rsidR="005D343B" w:rsidRPr="00033424" w:rsidRDefault="00F419BF" w:rsidP="00B85DDC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>
        <w:rPr>
          <w:rFonts w:ascii="Gotham Medium" w:hAnsi="Gotham Medium" w:cs="Arial"/>
          <w:b/>
          <w:bCs/>
          <w:color w:val="auto"/>
        </w:rPr>
        <w:t>SB279</w:t>
      </w:r>
      <w:r w:rsidR="005D343B" w:rsidRPr="00033424">
        <w:rPr>
          <w:rFonts w:ascii="Gotham Medium" w:hAnsi="Gotham Medium" w:cs="Arial"/>
          <w:b/>
          <w:bCs/>
          <w:color w:val="auto"/>
        </w:rPr>
        <w:t>: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Incentiv</w:t>
      </w:r>
      <w:r w:rsidR="00B50D27" w:rsidRPr="00033424">
        <w:rPr>
          <w:rFonts w:ascii="Gotham Black" w:hAnsi="Gotham Black" w:cs="Arial"/>
          <w:b/>
          <w:bCs/>
          <w:color w:val="auto"/>
        </w:rPr>
        <w:t>ize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Fair Settlement Offers</w:t>
      </w:r>
    </w:p>
    <w:p w14:paraId="24AF8FD2" w14:textId="3D81FD02" w:rsidR="00ED62B5" w:rsidRPr="00033424" w:rsidRDefault="005D343B" w:rsidP="00033424">
      <w:pPr>
        <w:spacing w:line="240" w:lineRule="auto"/>
        <w:rPr>
          <w:rFonts w:ascii="Gotham" w:hAnsi="Gotham" w:cs="Arial"/>
          <w:b/>
          <w:bCs/>
        </w:rPr>
      </w:pPr>
      <w:bookmarkStart w:id="5" w:name="_Hlk125033128"/>
      <w:r w:rsidRPr="00033424">
        <w:rPr>
          <w:rFonts w:ascii="Gotham" w:hAnsi="Gotham" w:cs="Arial"/>
          <w:b/>
          <w:bCs/>
        </w:rPr>
        <w:t>What:</w:t>
      </w:r>
      <w:r w:rsidR="00ED62B5" w:rsidRPr="00033424">
        <w:rPr>
          <w:rFonts w:ascii="Gotham" w:hAnsi="Gotham" w:cs="Arial"/>
          <w:b/>
          <w:bCs/>
        </w:rPr>
        <w:t xml:space="preserve"> </w:t>
      </w:r>
      <w:r w:rsidR="00ED62B5" w:rsidRPr="00033424">
        <w:rPr>
          <w:rFonts w:ascii="Gotham" w:hAnsi="Gotham" w:cs="Arial"/>
        </w:rPr>
        <w:t xml:space="preserve">Increase the fair </w:t>
      </w:r>
      <w:r w:rsidR="00B50D27" w:rsidRPr="00033424">
        <w:rPr>
          <w:rFonts w:ascii="Gotham" w:hAnsi="Gotham" w:cs="Arial"/>
        </w:rPr>
        <w:t>offer-of-</w:t>
      </w:r>
      <w:r w:rsidR="00ED62B5" w:rsidRPr="00033424">
        <w:rPr>
          <w:rFonts w:ascii="Gotham" w:hAnsi="Gotham" w:cs="Arial"/>
        </w:rPr>
        <w:t>settlement threshold from $50,000 to $3 million</w:t>
      </w:r>
    </w:p>
    <w:p w14:paraId="0986B4A2" w14:textId="01265F09" w:rsidR="00ED62B5" w:rsidRPr="00033424" w:rsidRDefault="005D343B" w:rsidP="005D343B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="00ED62B5" w:rsidRPr="00033424">
        <w:rPr>
          <w:rFonts w:ascii="Gotham" w:hAnsi="Gotham" w:cs="Arial"/>
          <w:b/>
          <w:bCs/>
        </w:rPr>
        <w:t xml:space="preserve"> </w:t>
      </w:r>
      <w:r w:rsidR="00ED62B5" w:rsidRPr="00033424">
        <w:rPr>
          <w:rFonts w:ascii="Gotham" w:hAnsi="Gotham" w:cs="Arial"/>
        </w:rPr>
        <w:t>T</w:t>
      </w:r>
      <w:r w:rsidR="000E31AD">
        <w:rPr>
          <w:rFonts w:ascii="Gotham" w:hAnsi="Gotham" w:cs="Arial"/>
        </w:rPr>
        <w:t xml:space="preserve">his </w:t>
      </w:r>
      <w:r w:rsidR="00ED62B5" w:rsidRPr="00033424">
        <w:rPr>
          <w:rFonts w:ascii="Gotham" w:hAnsi="Gotham" w:cs="Arial"/>
        </w:rPr>
        <w:t xml:space="preserve">would incentivize parties in more cases to settle at reasonable amounts instead of pursuing a trial and further clogging our court system. With this change, if a party does not settle, but then the final judgement is lower than/less favorable than the original settlement offer, the rejecting party must pay the offering party’s </w:t>
      </w:r>
      <w:r w:rsidR="00B50D27" w:rsidRPr="00033424">
        <w:rPr>
          <w:rFonts w:ascii="Gotham" w:hAnsi="Gotham" w:cs="Arial"/>
        </w:rPr>
        <w:t xml:space="preserve">costs and legal fees. </w:t>
      </w:r>
      <w:r w:rsidR="00ED62B5" w:rsidRPr="00033424">
        <w:rPr>
          <w:rFonts w:ascii="Gotham" w:hAnsi="Gotham" w:cs="Arial"/>
        </w:rPr>
        <w:t xml:space="preserve"> </w:t>
      </w:r>
    </w:p>
    <w:p w14:paraId="1B3729DF" w14:textId="2A1C196D" w:rsidR="00B50D27" w:rsidRPr="00033424" w:rsidRDefault="000E31AD" w:rsidP="005D343B">
      <w:pPr>
        <w:spacing w:line="240" w:lineRule="auto"/>
        <w:rPr>
          <w:rFonts w:ascii="Gotham" w:hAnsi="Gotham" w:cs="Arial"/>
        </w:rPr>
      </w:pPr>
      <w:r>
        <w:rPr>
          <w:rFonts w:ascii="Gotham" w:hAnsi="Gotham" w:cs="Arial"/>
        </w:rPr>
        <w:t>This rule currently</w:t>
      </w:r>
      <w:r w:rsidR="00B50D27" w:rsidRPr="00033424">
        <w:rPr>
          <w:rFonts w:ascii="Gotham" w:hAnsi="Gotham" w:cs="Arial"/>
        </w:rPr>
        <w:t xml:space="preserve"> applies to contract and real property claims below $50,000. The new rule would raise that threshold to $3 million. </w:t>
      </w:r>
    </w:p>
    <w:bookmarkEnd w:id="5"/>
    <w:p w14:paraId="54DD12E8" w14:textId="00E32343" w:rsidR="00FC509E" w:rsidRPr="00033424" w:rsidRDefault="00F419BF" w:rsidP="00BB0F05">
      <w:pPr>
        <w:pStyle w:val="Heading1"/>
        <w:spacing w:before="360"/>
        <w:rPr>
          <w:rFonts w:ascii="Gotham Black" w:hAnsi="Gotham Black" w:cs="Arial"/>
          <w:b/>
          <w:bCs/>
          <w:color w:val="auto"/>
        </w:rPr>
      </w:pPr>
      <w:r>
        <w:rPr>
          <w:rFonts w:ascii="Gotham Medium" w:hAnsi="Gotham Medium" w:cs="Arial"/>
          <w:b/>
          <w:bCs/>
          <w:color w:val="auto"/>
        </w:rPr>
        <w:t>HB410</w:t>
      </w:r>
      <w:r w:rsidR="00F96F81" w:rsidRPr="00F96F81">
        <w:rPr>
          <w:rFonts w:ascii="Gotham Medium" w:hAnsi="Gotham Medium" w:cs="Arial"/>
          <w:b/>
          <w:bCs/>
          <w:color w:val="auto"/>
        </w:rPr>
        <w:t>:</w:t>
      </w:r>
      <w:r w:rsidR="00F96F81">
        <w:rPr>
          <w:rFonts w:ascii="Gotham Black" w:hAnsi="Gotham Black" w:cs="Arial"/>
          <w:b/>
          <w:bCs/>
          <w:color w:val="auto"/>
        </w:rPr>
        <w:t xml:space="preserve"> </w:t>
      </w:r>
      <w:r w:rsidR="00FC509E" w:rsidRPr="00033424">
        <w:rPr>
          <w:rFonts w:ascii="Gotham Black" w:hAnsi="Gotham Black" w:cs="Arial"/>
          <w:b/>
          <w:bCs/>
          <w:color w:val="auto"/>
        </w:rPr>
        <w:t>Service of Process Time</w:t>
      </w:r>
      <w:r w:rsidR="005D343B" w:rsidRPr="00033424">
        <w:rPr>
          <w:rFonts w:ascii="Gotham Black" w:hAnsi="Gotham Black" w:cs="Arial"/>
          <w:b/>
          <w:bCs/>
          <w:color w:val="auto"/>
        </w:rPr>
        <w:t xml:space="preserve"> Limit</w:t>
      </w:r>
    </w:p>
    <w:p w14:paraId="6E553D30" w14:textId="76939740" w:rsidR="000078AF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What:</w:t>
      </w:r>
      <w:r w:rsidR="00717028" w:rsidRPr="00033424">
        <w:rPr>
          <w:rFonts w:ascii="Gotham" w:hAnsi="Gotham" w:cs="Arial"/>
        </w:rPr>
        <w:t xml:space="preserve"> Reduce the time for service of process (the amount of time to serve a case after the case has been filed) down from three years to </w:t>
      </w:r>
      <w:r w:rsidR="00A15DC3" w:rsidRPr="00033424">
        <w:rPr>
          <w:rFonts w:ascii="Gotham" w:hAnsi="Gotham" w:cs="Arial"/>
        </w:rPr>
        <w:t>two</w:t>
      </w:r>
      <w:r w:rsidR="00717028" w:rsidRPr="00033424">
        <w:rPr>
          <w:rFonts w:ascii="Gotham" w:hAnsi="Gotham" w:cs="Arial"/>
        </w:rPr>
        <w:t xml:space="preserve"> year</w:t>
      </w:r>
      <w:r w:rsidR="00A15DC3" w:rsidRPr="00033424">
        <w:rPr>
          <w:rFonts w:ascii="Gotham" w:hAnsi="Gotham" w:cs="Arial"/>
        </w:rPr>
        <w:t>s</w:t>
      </w:r>
      <w:r w:rsidR="00717028" w:rsidRPr="00033424">
        <w:rPr>
          <w:rFonts w:ascii="Gotham" w:hAnsi="Gotham" w:cs="Arial"/>
        </w:rPr>
        <w:t xml:space="preserve">. </w:t>
      </w:r>
    </w:p>
    <w:p w14:paraId="5719511F" w14:textId="21DD2285" w:rsidR="000078AF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lastRenderedPageBreak/>
        <w:t xml:space="preserve">Why: </w:t>
      </w:r>
      <w:r w:rsidR="006F28A7" w:rsidRPr="00033424">
        <w:rPr>
          <w:rFonts w:ascii="Gotham" w:hAnsi="Gotham" w:cs="Arial"/>
        </w:rPr>
        <w:t xml:space="preserve">With a three-year service of process timeline on top of the </w:t>
      </w:r>
      <w:r w:rsidR="00B50D27" w:rsidRPr="00033424">
        <w:rPr>
          <w:rFonts w:ascii="Gotham" w:hAnsi="Gotham" w:cs="Arial"/>
        </w:rPr>
        <w:t xml:space="preserve">three-year </w:t>
      </w:r>
      <w:r w:rsidR="006F28A7" w:rsidRPr="00033424">
        <w:rPr>
          <w:rFonts w:ascii="Gotham" w:hAnsi="Gotham" w:cs="Arial"/>
        </w:rPr>
        <w:t xml:space="preserve">statute of limitations, </w:t>
      </w:r>
      <w:r w:rsidR="00F075DA" w:rsidRPr="00033424">
        <w:rPr>
          <w:rFonts w:ascii="Gotham" w:hAnsi="Gotham" w:cs="Arial"/>
        </w:rPr>
        <w:t>this</w:t>
      </w:r>
      <w:r w:rsidR="00E77214" w:rsidRPr="00033424">
        <w:rPr>
          <w:rFonts w:ascii="Gotham" w:hAnsi="Gotham" w:cs="Arial"/>
        </w:rPr>
        <w:t xml:space="preserve"> </w:t>
      </w:r>
      <w:r w:rsidR="00C64C8A" w:rsidRPr="00033424">
        <w:rPr>
          <w:rFonts w:ascii="Gotham" w:hAnsi="Gotham" w:cs="Arial"/>
        </w:rPr>
        <w:t>allows</w:t>
      </w:r>
      <w:r w:rsidR="006F28A7" w:rsidRPr="00033424">
        <w:rPr>
          <w:rFonts w:ascii="Gotham" w:hAnsi="Gotham" w:cs="Arial"/>
        </w:rPr>
        <w:t xml:space="preserve"> a long period of time after an event before the </w:t>
      </w:r>
      <w:r w:rsidR="00F075DA" w:rsidRPr="00033424">
        <w:rPr>
          <w:rFonts w:ascii="Gotham" w:hAnsi="Gotham" w:cs="Arial"/>
        </w:rPr>
        <w:t>defendant</w:t>
      </w:r>
      <w:r w:rsidR="006F28A7" w:rsidRPr="00033424">
        <w:rPr>
          <w:rFonts w:ascii="Gotham" w:hAnsi="Gotham" w:cs="Arial"/>
        </w:rPr>
        <w:t xml:space="preserve"> </w:t>
      </w:r>
      <w:r w:rsidR="00C64C8A" w:rsidRPr="00033424">
        <w:rPr>
          <w:rFonts w:ascii="Gotham" w:hAnsi="Gotham" w:cs="Arial"/>
        </w:rPr>
        <w:t>must</w:t>
      </w:r>
      <w:r w:rsidR="006F28A7" w:rsidRPr="00033424">
        <w:rPr>
          <w:rFonts w:ascii="Gotham" w:hAnsi="Gotham" w:cs="Arial"/>
        </w:rPr>
        <w:t xml:space="preserve"> be served. </w:t>
      </w:r>
      <w:r w:rsidR="00C64C8A" w:rsidRPr="00033424">
        <w:rPr>
          <w:rFonts w:ascii="Gotham" w:hAnsi="Gotham" w:cs="Arial"/>
        </w:rPr>
        <w:t>Shortening</w:t>
      </w:r>
      <w:r w:rsidR="006F28A7" w:rsidRPr="00033424">
        <w:rPr>
          <w:rFonts w:ascii="Gotham" w:hAnsi="Gotham" w:cs="Arial"/>
        </w:rPr>
        <w:t xml:space="preserve"> this time frame</w:t>
      </w:r>
      <w:r w:rsidR="00C64C8A" w:rsidRPr="00033424">
        <w:rPr>
          <w:rFonts w:ascii="Gotham" w:hAnsi="Gotham" w:cs="Arial"/>
        </w:rPr>
        <w:t xml:space="preserve"> will make</w:t>
      </w:r>
      <w:r w:rsidR="006F28A7" w:rsidRPr="00033424">
        <w:rPr>
          <w:rFonts w:ascii="Gotham" w:hAnsi="Gotham" w:cs="Arial"/>
        </w:rPr>
        <w:t xml:space="preserve"> the process fairer for defendants</w:t>
      </w:r>
      <w:r w:rsidR="00C64C8A" w:rsidRPr="00033424">
        <w:rPr>
          <w:rFonts w:ascii="Gotham" w:hAnsi="Gotham" w:cs="Arial"/>
        </w:rPr>
        <w:t>.</w:t>
      </w:r>
      <w:r w:rsidR="006F28A7" w:rsidRPr="00033424">
        <w:rPr>
          <w:rFonts w:ascii="Gotham" w:hAnsi="Gotham" w:cs="Arial"/>
        </w:rPr>
        <w:t xml:space="preserve"> </w:t>
      </w:r>
      <w:r w:rsidR="00C64C8A" w:rsidRPr="00033424">
        <w:rPr>
          <w:rFonts w:ascii="Gotham" w:hAnsi="Gotham" w:cs="Arial"/>
        </w:rPr>
        <w:t xml:space="preserve">Businesses can better </w:t>
      </w:r>
      <w:r w:rsidR="00F075DA" w:rsidRPr="00033424">
        <w:rPr>
          <w:rFonts w:ascii="Gotham" w:hAnsi="Gotham" w:cs="Arial"/>
        </w:rPr>
        <w:t xml:space="preserve">provide evidence for their defense </w:t>
      </w:r>
      <w:r w:rsidR="006F28A7" w:rsidRPr="00033424">
        <w:rPr>
          <w:rFonts w:ascii="Gotham" w:hAnsi="Gotham" w:cs="Arial"/>
        </w:rPr>
        <w:t xml:space="preserve">soon after it happens, </w:t>
      </w:r>
      <w:r w:rsidR="00F075DA" w:rsidRPr="00033424">
        <w:rPr>
          <w:rFonts w:ascii="Gotham" w:hAnsi="Gotham" w:cs="Arial"/>
        </w:rPr>
        <w:t xml:space="preserve">rather than three years after the claim was filed. </w:t>
      </w:r>
    </w:p>
    <w:p w14:paraId="5F6AB975" w14:textId="20BE37AD" w:rsidR="00FC509E" w:rsidRPr="00033424" w:rsidRDefault="004E5612" w:rsidP="00BB0F05">
      <w:pPr>
        <w:pStyle w:val="Heading1"/>
        <w:spacing w:before="360"/>
        <w:jc w:val="both"/>
        <w:rPr>
          <w:rFonts w:ascii="Gotham Black" w:hAnsi="Gotham Black" w:cs="Arial"/>
          <w:b/>
          <w:bCs/>
          <w:color w:val="auto"/>
        </w:rPr>
      </w:pPr>
      <w:r w:rsidRPr="00F96F81">
        <w:rPr>
          <w:rFonts w:ascii="Gotham Medium" w:hAnsi="Gotham Medium" w:cs="Arial"/>
          <w:b/>
          <w:bCs/>
          <w:color w:val="auto"/>
        </w:rPr>
        <w:t>LC4513:</w:t>
      </w:r>
      <w:r>
        <w:rPr>
          <w:rFonts w:ascii="Gotham Black" w:hAnsi="Gotham Black" w:cs="Arial"/>
          <w:b/>
          <w:bCs/>
          <w:color w:val="auto"/>
        </w:rPr>
        <w:t xml:space="preserve"> </w:t>
      </w:r>
      <w:r w:rsidR="00FC509E" w:rsidRPr="00033424">
        <w:rPr>
          <w:rFonts w:ascii="Gotham Black" w:hAnsi="Gotham Black" w:cs="Arial"/>
          <w:b/>
          <w:bCs/>
          <w:color w:val="auto"/>
        </w:rPr>
        <w:t>Clarify Real Property Statute of Limitations</w:t>
      </w:r>
    </w:p>
    <w:p w14:paraId="2C347E3B" w14:textId="321E4E6F" w:rsidR="000078AF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What:</w:t>
      </w:r>
      <w:r w:rsidR="00F075DA" w:rsidRPr="00033424">
        <w:rPr>
          <w:rFonts w:ascii="Gotham" w:hAnsi="Gotham" w:cs="Arial"/>
        </w:rPr>
        <w:t xml:space="preserve"> </w:t>
      </w:r>
      <w:r w:rsidR="0035374F" w:rsidRPr="00033424">
        <w:rPr>
          <w:rFonts w:ascii="Gotham" w:hAnsi="Gotham" w:cs="Arial"/>
        </w:rPr>
        <w:t xml:space="preserve">Clarifies the statute of limitations for damage to real property to make clear that it does not reset with a new owner. </w:t>
      </w:r>
    </w:p>
    <w:p w14:paraId="4813E73F" w14:textId="0806E93A" w:rsidR="00FC509E" w:rsidRPr="00033424" w:rsidRDefault="00876AFB" w:rsidP="00423CDE">
      <w:pPr>
        <w:spacing w:line="240" w:lineRule="auto"/>
        <w:rPr>
          <w:rFonts w:ascii="Gotham" w:hAnsi="Gotham" w:cs="Arial"/>
        </w:rPr>
      </w:pPr>
      <w:r w:rsidRPr="00033424">
        <w:rPr>
          <w:rFonts w:ascii="Gotham" w:hAnsi="Gotham" w:cs="Arial"/>
          <w:b/>
          <w:bCs/>
        </w:rPr>
        <w:t>Why:</w:t>
      </w:r>
      <w:r w:rsidR="0035374F" w:rsidRPr="00033424">
        <w:rPr>
          <w:rFonts w:ascii="Gotham" w:hAnsi="Gotham" w:cs="Arial"/>
        </w:rPr>
        <w:t xml:space="preserve"> This change clarifies that the statute of limitations starts when </w:t>
      </w:r>
      <w:r w:rsidR="00C64C8A" w:rsidRPr="00033424">
        <w:rPr>
          <w:rFonts w:ascii="Gotham" w:hAnsi="Gotham" w:cs="Arial"/>
        </w:rPr>
        <w:t>damage</w:t>
      </w:r>
      <w:r w:rsidR="00173E67" w:rsidRPr="00033424">
        <w:rPr>
          <w:rFonts w:ascii="Gotham" w:hAnsi="Gotham" w:cs="Arial"/>
        </w:rPr>
        <w:t xml:space="preserve"> </w:t>
      </w:r>
      <w:r w:rsidR="0035374F" w:rsidRPr="00033424">
        <w:rPr>
          <w:rFonts w:ascii="Gotham" w:hAnsi="Gotham" w:cs="Arial"/>
        </w:rPr>
        <w:t>occurs</w:t>
      </w:r>
      <w:r w:rsidR="00173E67" w:rsidRPr="00033424">
        <w:rPr>
          <w:rFonts w:ascii="Gotham" w:hAnsi="Gotham" w:cs="Arial"/>
        </w:rPr>
        <w:t xml:space="preserve"> and is known</w:t>
      </w:r>
      <w:r w:rsidR="0035374F" w:rsidRPr="00033424">
        <w:rPr>
          <w:rFonts w:ascii="Gotham" w:hAnsi="Gotham" w:cs="Arial"/>
        </w:rPr>
        <w:t xml:space="preserve">, regardless of whether the property changes ownership. This ensures that a damaged piece of real property cannot be sold simply to bring up a lawsuit if the statute of limitations has expired. </w:t>
      </w:r>
    </w:p>
    <w:sectPr w:rsidR="00FC509E" w:rsidRPr="00033424" w:rsidSect="00473E3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DCC9" w14:textId="77777777" w:rsidR="00F01D7C" w:rsidRDefault="00F01D7C" w:rsidP="00173E67">
      <w:pPr>
        <w:spacing w:after="0" w:line="240" w:lineRule="auto"/>
      </w:pPr>
      <w:r>
        <w:separator/>
      </w:r>
    </w:p>
  </w:endnote>
  <w:endnote w:type="continuationSeparator" w:id="0">
    <w:p w14:paraId="40136C02" w14:textId="77777777" w:rsidR="00F01D7C" w:rsidRDefault="00F01D7C" w:rsidP="0017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otham Ultra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62082226"/>
      <w:docPartObj>
        <w:docPartGallery w:val="Page Numbers (Bottom of Page)"/>
        <w:docPartUnique/>
      </w:docPartObj>
    </w:sdtPr>
    <w:sdtEndPr>
      <w:rPr>
        <w:rFonts w:ascii="Montserrat Medium" w:hAnsi="Montserrat Medium"/>
        <w:noProof/>
      </w:rPr>
    </w:sdtEndPr>
    <w:sdtContent>
      <w:p w14:paraId="0F0631B7" w14:textId="740AE3A0" w:rsidR="00827731" w:rsidRPr="005D343B" w:rsidRDefault="00827731">
        <w:pPr>
          <w:pStyle w:val="Footer"/>
          <w:jc w:val="right"/>
          <w:rPr>
            <w:rFonts w:ascii="Montserrat Medium" w:hAnsi="Montserrat Medium" w:cs="Arial"/>
          </w:rPr>
        </w:pPr>
        <w:r w:rsidRPr="005D343B">
          <w:rPr>
            <w:rFonts w:ascii="Montserrat Medium" w:hAnsi="Montserrat Medium" w:cs="Arial"/>
          </w:rPr>
          <w:fldChar w:fldCharType="begin"/>
        </w:r>
        <w:r w:rsidRPr="005D343B">
          <w:rPr>
            <w:rFonts w:ascii="Montserrat Medium" w:hAnsi="Montserrat Medium" w:cs="Arial"/>
          </w:rPr>
          <w:instrText xml:space="preserve"> PAGE   \* MERGEFORMAT </w:instrText>
        </w:r>
        <w:r w:rsidRPr="005D343B">
          <w:rPr>
            <w:rFonts w:ascii="Montserrat Medium" w:hAnsi="Montserrat Medium" w:cs="Arial"/>
          </w:rPr>
          <w:fldChar w:fldCharType="separate"/>
        </w:r>
        <w:r w:rsidRPr="005D343B">
          <w:rPr>
            <w:rFonts w:ascii="Montserrat Medium" w:hAnsi="Montserrat Medium" w:cs="Arial"/>
            <w:noProof/>
          </w:rPr>
          <w:t>2</w:t>
        </w:r>
        <w:r w:rsidRPr="005D343B">
          <w:rPr>
            <w:rFonts w:ascii="Montserrat Medium" w:hAnsi="Montserrat Medium" w:cs="Arial"/>
            <w:noProof/>
          </w:rPr>
          <w:fldChar w:fldCharType="end"/>
        </w:r>
      </w:p>
    </w:sdtContent>
  </w:sdt>
  <w:p w14:paraId="0DDBB4C7" w14:textId="77777777" w:rsidR="00827731" w:rsidRDefault="0082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7F1" w14:textId="77777777" w:rsidR="00F01D7C" w:rsidRDefault="00F01D7C" w:rsidP="00173E67">
      <w:pPr>
        <w:spacing w:after="0" w:line="240" w:lineRule="auto"/>
      </w:pPr>
      <w:r>
        <w:separator/>
      </w:r>
    </w:p>
  </w:footnote>
  <w:footnote w:type="continuationSeparator" w:id="0">
    <w:p w14:paraId="3D226912" w14:textId="77777777" w:rsidR="00F01D7C" w:rsidRDefault="00F01D7C" w:rsidP="0017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528" w14:textId="1D246466" w:rsidR="00CD0773" w:rsidRDefault="00CD0773" w:rsidP="00CD0773">
    <w:pPr>
      <w:pStyle w:val="Header"/>
      <w:rPr>
        <w:rFonts w:ascii="Montserrat" w:hAnsi="Montserrat" w:cs="Arial"/>
        <w:b/>
        <w:bCs/>
        <w:noProof/>
      </w:rPr>
    </w:pPr>
    <w:r>
      <w:rPr>
        <w:rFonts w:ascii="Montserrat" w:hAnsi="Montserrat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563465F1" wp14:editId="3A479CB1">
          <wp:simplePos x="0" y="0"/>
          <wp:positionH relativeFrom="column">
            <wp:posOffset>-685800</wp:posOffset>
          </wp:positionH>
          <wp:positionV relativeFrom="paragraph">
            <wp:posOffset>-352425</wp:posOffset>
          </wp:positionV>
          <wp:extent cx="2419350" cy="791845"/>
          <wp:effectExtent l="0" t="0" r="0" b="8255"/>
          <wp:wrapTight wrapText="bothSides">
            <wp:wrapPolygon edited="0">
              <wp:start x="0" y="0"/>
              <wp:lineTo x="0" y="21306"/>
              <wp:lineTo x="21430" y="21306"/>
              <wp:lineTo x="21430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B2357" w14:textId="1B3DBAFD" w:rsidR="00173E67" w:rsidRPr="00033424" w:rsidRDefault="00033424" w:rsidP="00CD0773">
    <w:pPr>
      <w:pStyle w:val="Header"/>
      <w:jc w:val="right"/>
      <w:rPr>
        <w:rFonts w:ascii="Gotham Ultra" w:hAnsi="Gotham Ultra" w:cs="Arial"/>
        <w:b/>
        <w:bCs/>
        <w:sz w:val="32"/>
        <w:szCs w:val="32"/>
      </w:rPr>
    </w:pPr>
    <w:r w:rsidRPr="00033424">
      <w:rPr>
        <w:rFonts w:ascii="Gotham Ultra" w:hAnsi="Gotham Ultra" w:cs="Arial"/>
        <w:b/>
        <w:bCs/>
      </w:rPr>
      <w:tab/>
    </w:r>
    <w:r w:rsidRPr="00033424">
      <w:rPr>
        <w:rFonts w:ascii="Gotham Ultra" w:hAnsi="Gotham Ultra" w:cs="Arial"/>
        <w:b/>
        <w:bCs/>
        <w:sz w:val="32"/>
        <w:szCs w:val="32"/>
      </w:rPr>
      <w:t>2023 LEGISLATIVE PRIORITIES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3C"/>
    <w:multiLevelType w:val="hybridMultilevel"/>
    <w:tmpl w:val="6D3E4520"/>
    <w:lvl w:ilvl="0" w:tplc="5560A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060"/>
    <w:multiLevelType w:val="hybridMultilevel"/>
    <w:tmpl w:val="C8D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894"/>
    <w:multiLevelType w:val="hybridMultilevel"/>
    <w:tmpl w:val="70B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5B33"/>
    <w:multiLevelType w:val="hybridMultilevel"/>
    <w:tmpl w:val="EA9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BDA"/>
    <w:multiLevelType w:val="hybridMultilevel"/>
    <w:tmpl w:val="A42A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4FB6"/>
    <w:multiLevelType w:val="hybridMultilevel"/>
    <w:tmpl w:val="CD90CC1E"/>
    <w:lvl w:ilvl="0" w:tplc="EF182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2715"/>
    <w:multiLevelType w:val="hybridMultilevel"/>
    <w:tmpl w:val="D642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A703D"/>
    <w:multiLevelType w:val="hybridMultilevel"/>
    <w:tmpl w:val="364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70646">
    <w:abstractNumId w:val="0"/>
  </w:num>
  <w:num w:numId="2" w16cid:durableId="1447231565">
    <w:abstractNumId w:val="5"/>
  </w:num>
  <w:num w:numId="3" w16cid:durableId="640110580">
    <w:abstractNumId w:val="7"/>
  </w:num>
  <w:num w:numId="4" w16cid:durableId="186455103">
    <w:abstractNumId w:val="3"/>
  </w:num>
  <w:num w:numId="5" w16cid:durableId="1692493332">
    <w:abstractNumId w:val="1"/>
  </w:num>
  <w:num w:numId="6" w16cid:durableId="71902419">
    <w:abstractNumId w:val="6"/>
  </w:num>
  <w:num w:numId="7" w16cid:durableId="1210266588">
    <w:abstractNumId w:val="2"/>
  </w:num>
  <w:num w:numId="8" w16cid:durableId="1532261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C9"/>
    <w:rsid w:val="00001D3D"/>
    <w:rsid w:val="000078AF"/>
    <w:rsid w:val="000324F1"/>
    <w:rsid w:val="00033424"/>
    <w:rsid w:val="000377D4"/>
    <w:rsid w:val="00052582"/>
    <w:rsid w:val="000E31AD"/>
    <w:rsid w:val="001038E9"/>
    <w:rsid w:val="001602CE"/>
    <w:rsid w:val="00172E45"/>
    <w:rsid w:val="00173E67"/>
    <w:rsid w:val="001E0BBC"/>
    <w:rsid w:val="0026243E"/>
    <w:rsid w:val="002C5BF2"/>
    <w:rsid w:val="00325A44"/>
    <w:rsid w:val="0035374F"/>
    <w:rsid w:val="00423CDE"/>
    <w:rsid w:val="00472EEA"/>
    <w:rsid w:val="00473E33"/>
    <w:rsid w:val="00486C84"/>
    <w:rsid w:val="004E5612"/>
    <w:rsid w:val="00582352"/>
    <w:rsid w:val="005D343B"/>
    <w:rsid w:val="005D726E"/>
    <w:rsid w:val="005E4113"/>
    <w:rsid w:val="00614131"/>
    <w:rsid w:val="00621224"/>
    <w:rsid w:val="0066346C"/>
    <w:rsid w:val="006A642B"/>
    <w:rsid w:val="006E4E6E"/>
    <w:rsid w:val="006F28A7"/>
    <w:rsid w:val="00717028"/>
    <w:rsid w:val="007D2500"/>
    <w:rsid w:val="007E7207"/>
    <w:rsid w:val="007F324F"/>
    <w:rsid w:val="00827731"/>
    <w:rsid w:val="008413C3"/>
    <w:rsid w:val="00876AFB"/>
    <w:rsid w:val="00920805"/>
    <w:rsid w:val="00937F2A"/>
    <w:rsid w:val="009E5917"/>
    <w:rsid w:val="00A019C9"/>
    <w:rsid w:val="00A15DC3"/>
    <w:rsid w:val="00A25494"/>
    <w:rsid w:val="00B05B34"/>
    <w:rsid w:val="00B50D27"/>
    <w:rsid w:val="00B85DDC"/>
    <w:rsid w:val="00BB0F05"/>
    <w:rsid w:val="00BC31CC"/>
    <w:rsid w:val="00C05438"/>
    <w:rsid w:val="00C431F1"/>
    <w:rsid w:val="00C64C8A"/>
    <w:rsid w:val="00CD0773"/>
    <w:rsid w:val="00D27510"/>
    <w:rsid w:val="00D462D3"/>
    <w:rsid w:val="00D57680"/>
    <w:rsid w:val="00D60E04"/>
    <w:rsid w:val="00D978C6"/>
    <w:rsid w:val="00DA4059"/>
    <w:rsid w:val="00DF353B"/>
    <w:rsid w:val="00E22595"/>
    <w:rsid w:val="00E44DA1"/>
    <w:rsid w:val="00E77214"/>
    <w:rsid w:val="00EB1BBF"/>
    <w:rsid w:val="00ED62B5"/>
    <w:rsid w:val="00EE5397"/>
    <w:rsid w:val="00F01D7C"/>
    <w:rsid w:val="00F060E9"/>
    <w:rsid w:val="00F075DA"/>
    <w:rsid w:val="00F419BF"/>
    <w:rsid w:val="00F560F7"/>
    <w:rsid w:val="00F75915"/>
    <w:rsid w:val="00F96F81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985F7"/>
  <w15:chartTrackingRefBased/>
  <w15:docId w15:val="{99B517CF-9B9F-40FB-B98A-9AFEDEB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3B"/>
  </w:style>
  <w:style w:type="paragraph" w:styleId="Heading1">
    <w:name w:val="heading 1"/>
    <w:basedOn w:val="Normal"/>
    <w:next w:val="Normal"/>
    <w:link w:val="Heading1Char"/>
    <w:uiPriority w:val="9"/>
    <w:qFormat/>
    <w:rsid w:val="00FC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24F1"/>
    <w:pPr>
      <w:ind w:left="720"/>
      <w:contextualSpacing/>
    </w:pPr>
  </w:style>
  <w:style w:type="paragraph" w:styleId="Revision">
    <w:name w:val="Revision"/>
    <w:hidden/>
    <w:uiPriority w:val="99"/>
    <w:semiHidden/>
    <w:rsid w:val="00B05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67"/>
  </w:style>
  <w:style w:type="paragraph" w:styleId="Footer">
    <w:name w:val="footer"/>
    <w:basedOn w:val="Normal"/>
    <w:link w:val="FooterChar"/>
    <w:uiPriority w:val="99"/>
    <w:unhideWhenUsed/>
    <w:rsid w:val="001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E8EA5EA0B5646AF0B255A03E7E295" ma:contentTypeVersion="6" ma:contentTypeDescription="Create a new document." ma:contentTypeScope="" ma:versionID="996ce3de4bd3d66f92a5ee298d9698cc">
  <xsd:schema xmlns:xsd="http://www.w3.org/2001/XMLSchema" xmlns:xs="http://www.w3.org/2001/XMLSchema" xmlns:p="http://schemas.microsoft.com/office/2006/metadata/properties" xmlns:ns2="174744c8-0348-427d-b65e-c3d0e04fda56" xmlns:ns3="fd7626cf-7155-4d5b-bff7-c5c35311af35" targetNamespace="http://schemas.microsoft.com/office/2006/metadata/properties" ma:root="true" ma:fieldsID="bcce1727bd86865d220432cf912554c9" ns2:_="" ns3:_="">
    <xsd:import namespace="174744c8-0348-427d-b65e-c3d0e04fda56"/>
    <xsd:import namespace="fd7626cf-7155-4d5b-bff7-c5c35311a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44c8-0348-427d-b65e-c3d0e04f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26cf-7155-4d5b-bff7-c5c35311a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9B373-4C9E-4810-9B6A-610E3A0FD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999E9-8445-4712-9A07-76DFBD5C2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44c8-0348-427d-b65e-c3d0e04fda56"/>
    <ds:schemaRef ds:uri="fd7626cf-7155-4d5b-bff7-c5c35311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E7F67-FED6-4C0D-8C92-F4016F995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Johnson</dc:creator>
  <cp:keywords/>
  <dc:description/>
  <cp:lastModifiedBy>Sheridan Johnson</cp:lastModifiedBy>
  <cp:revision>16</cp:revision>
  <cp:lastPrinted>2023-02-01T17:58:00Z</cp:lastPrinted>
  <dcterms:created xsi:type="dcterms:W3CDTF">2023-01-11T00:34:00Z</dcterms:created>
  <dcterms:modified xsi:type="dcterms:W3CDTF">2023-02-08T16:26:00Z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0x010100CE3E8EA5EA0B5646AF0B255A03E7E295</vt:lpwstr>
  </property>
</Properties>
</file>